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2C2" w:rsidRDefault="00536F96" w:rsidP="007822C2">
      <w:pPr>
        <w:jc w:val="center"/>
        <w:rPr>
          <w:b/>
          <w:sz w:val="28"/>
          <w:szCs w:val="28"/>
        </w:rPr>
      </w:pPr>
      <w:r>
        <w:rPr>
          <w:noProof/>
        </w:rPr>
        <w:drawing>
          <wp:inline distT="0" distB="0" distL="0" distR="0">
            <wp:extent cx="1228725" cy="857250"/>
            <wp:effectExtent l="19050" t="0" r="9525" b="0"/>
            <wp:docPr id="2" name="image1.jpg" descr="logo 2C2P"/>
            <wp:cNvGraphicFramePr/>
            <a:graphic xmlns:a="http://schemas.openxmlformats.org/drawingml/2006/main">
              <a:graphicData uri="http://schemas.openxmlformats.org/drawingml/2006/picture">
                <pic:pic xmlns:pic="http://schemas.openxmlformats.org/drawingml/2006/picture">
                  <pic:nvPicPr>
                    <pic:cNvPr id="0" name="image1.jpg" descr="logo 2C2P"/>
                    <pic:cNvPicPr preferRelativeResize="0"/>
                  </pic:nvPicPr>
                  <pic:blipFill>
                    <a:blip r:embed="rId6" cstate="print"/>
                    <a:srcRect/>
                    <a:stretch>
                      <a:fillRect/>
                    </a:stretch>
                  </pic:blipFill>
                  <pic:spPr>
                    <a:xfrm>
                      <a:off x="0" y="0"/>
                      <a:ext cx="1228725" cy="857250"/>
                    </a:xfrm>
                    <a:prstGeom prst="rect">
                      <a:avLst/>
                    </a:prstGeom>
                    <a:ln/>
                  </pic:spPr>
                </pic:pic>
              </a:graphicData>
            </a:graphic>
          </wp:inline>
        </w:drawing>
      </w:r>
      <w:r>
        <w:rPr>
          <w:b/>
          <w:sz w:val="36"/>
          <w:szCs w:val="36"/>
        </w:rPr>
        <w:t xml:space="preserve">         </w:t>
      </w:r>
      <w:r w:rsidR="007822C2" w:rsidRPr="007822C2">
        <w:rPr>
          <w:b/>
          <w:sz w:val="40"/>
          <w:szCs w:val="40"/>
        </w:rPr>
        <w:t>INTER-BIENNALE DES ARTS 2025</w:t>
      </w:r>
    </w:p>
    <w:p w:rsidR="00927AEE" w:rsidRDefault="00927AEE">
      <w:pPr>
        <w:rPr>
          <w:b/>
          <w:sz w:val="36"/>
          <w:szCs w:val="36"/>
        </w:rPr>
      </w:pPr>
    </w:p>
    <w:p w:rsidR="00927AEE" w:rsidRDefault="00927AEE">
      <w:pPr>
        <w:rPr>
          <w:b/>
          <w:sz w:val="24"/>
          <w:szCs w:val="24"/>
        </w:rPr>
      </w:pPr>
    </w:p>
    <w:p w:rsidR="00927AEE" w:rsidRDefault="00536F96">
      <w:pPr>
        <w:jc w:val="center"/>
        <w:rPr>
          <w:b/>
          <w:sz w:val="28"/>
          <w:szCs w:val="28"/>
        </w:rPr>
      </w:pPr>
      <w:r>
        <w:rPr>
          <w:b/>
          <w:sz w:val="28"/>
          <w:szCs w:val="28"/>
        </w:rPr>
        <w:t>Règlement général de l’opération « exposition chez l’habitant »</w:t>
      </w:r>
    </w:p>
    <w:p w:rsidR="00927AEE" w:rsidRDefault="00536F96">
      <w:pPr>
        <w:numPr>
          <w:ilvl w:val="0"/>
          <w:numId w:val="1"/>
        </w:numPr>
        <w:pBdr>
          <w:top w:val="nil"/>
          <w:left w:val="nil"/>
          <w:bottom w:val="nil"/>
          <w:right w:val="nil"/>
          <w:between w:val="nil"/>
        </w:pBdr>
        <w:spacing w:after="0"/>
        <w:rPr>
          <w:color w:val="000000"/>
          <w:sz w:val="24"/>
          <w:szCs w:val="24"/>
        </w:rPr>
      </w:pPr>
      <w:r>
        <w:rPr>
          <w:color w:val="000000"/>
          <w:sz w:val="24"/>
          <w:szCs w:val="24"/>
        </w:rPr>
        <w:t>L’artiste occupera l’espace que l’habitant mettra à sa disposition sans y déroger mais pour exposer librement (jardin, garage, préau, pièces d’habitation…)</w:t>
      </w:r>
    </w:p>
    <w:p w:rsidR="00927AEE" w:rsidRDefault="00536F96">
      <w:pPr>
        <w:numPr>
          <w:ilvl w:val="0"/>
          <w:numId w:val="1"/>
        </w:numPr>
        <w:pBdr>
          <w:top w:val="nil"/>
          <w:left w:val="nil"/>
          <w:bottom w:val="nil"/>
          <w:right w:val="nil"/>
          <w:between w:val="nil"/>
        </w:pBdr>
        <w:spacing w:after="0"/>
        <w:rPr>
          <w:color w:val="000000"/>
          <w:sz w:val="24"/>
          <w:szCs w:val="24"/>
        </w:rPr>
      </w:pPr>
      <w:r>
        <w:rPr>
          <w:color w:val="000000"/>
          <w:sz w:val="24"/>
          <w:szCs w:val="24"/>
        </w:rPr>
        <w:t>L’installation et la surveillance sont à la charge de l’artiste exposant (frais de déplacement et d’installation ne sont pas pris en charge par le Comité). Le Comité et l’habitant se déchargent de toute responsabilité en cas de détérioration, perte ou vol. Le choix est laissé à l’exposant de contracter une assurance.</w:t>
      </w:r>
    </w:p>
    <w:p w:rsidR="00927AEE" w:rsidRDefault="00536F96">
      <w:pPr>
        <w:numPr>
          <w:ilvl w:val="0"/>
          <w:numId w:val="1"/>
        </w:numPr>
        <w:pBdr>
          <w:top w:val="nil"/>
          <w:left w:val="nil"/>
          <w:bottom w:val="nil"/>
          <w:right w:val="nil"/>
          <w:between w:val="nil"/>
        </w:pBdr>
        <w:spacing w:after="0"/>
        <w:rPr>
          <w:color w:val="000000"/>
          <w:sz w:val="24"/>
          <w:szCs w:val="24"/>
        </w:rPr>
      </w:pPr>
      <w:r>
        <w:rPr>
          <w:color w:val="000000"/>
          <w:sz w:val="24"/>
          <w:szCs w:val="24"/>
        </w:rPr>
        <w:t>Le décrochage se fera par l’exposant qui veillera à laisser les lieux dans l’état initial.</w:t>
      </w:r>
    </w:p>
    <w:p w:rsidR="00927AEE" w:rsidRDefault="00536F96">
      <w:pPr>
        <w:numPr>
          <w:ilvl w:val="0"/>
          <w:numId w:val="1"/>
        </w:numPr>
        <w:pBdr>
          <w:top w:val="nil"/>
          <w:left w:val="nil"/>
          <w:bottom w:val="nil"/>
          <w:right w:val="nil"/>
          <w:between w:val="nil"/>
        </w:pBdr>
        <w:spacing w:after="0"/>
        <w:rPr>
          <w:color w:val="000000"/>
          <w:sz w:val="24"/>
          <w:szCs w:val="24"/>
        </w:rPr>
      </w:pPr>
      <w:r>
        <w:rPr>
          <w:color w:val="000000"/>
          <w:sz w:val="24"/>
          <w:szCs w:val="24"/>
        </w:rPr>
        <w:t>Des fanions ou autres moyens de communication seront affichés dans des lieux stratégiques de Cuiseaux pour faciliter la « balade artistique »</w:t>
      </w:r>
    </w:p>
    <w:p w:rsidR="00927AEE" w:rsidRDefault="00536F96">
      <w:pPr>
        <w:numPr>
          <w:ilvl w:val="0"/>
          <w:numId w:val="1"/>
        </w:numPr>
        <w:pBdr>
          <w:top w:val="nil"/>
          <w:left w:val="nil"/>
          <w:bottom w:val="nil"/>
          <w:right w:val="nil"/>
          <w:between w:val="nil"/>
        </w:pBdr>
        <w:spacing w:after="0"/>
        <w:rPr>
          <w:color w:val="000000"/>
          <w:sz w:val="24"/>
          <w:szCs w:val="24"/>
        </w:rPr>
      </w:pPr>
      <w:r>
        <w:rPr>
          <w:color w:val="000000"/>
          <w:sz w:val="24"/>
          <w:szCs w:val="24"/>
        </w:rPr>
        <w:t>Respect des conditions sanitaires</w:t>
      </w:r>
    </w:p>
    <w:p w:rsidR="00927AEE" w:rsidRDefault="00927AEE">
      <w:pPr>
        <w:pBdr>
          <w:top w:val="nil"/>
          <w:left w:val="nil"/>
          <w:bottom w:val="nil"/>
          <w:right w:val="nil"/>
          <w:between w:val="nil"/>
        </w:pBdr>
        <w:spacing w:after="0"/>
        <w:rPr>
          <w:sz w:val="24"/>
          <w:szCs w:val="24"/>
        </w:rPr>
      </w:pPr>
    </w:p>
    <w:p w:rsidR="00927AEE" w:rsidRDefault="00927AEE">
      <w:pPr>
        <w:pBdr>
          <w:top w:val="nil"/>
          <w:left w:val="nil"/>
          <w:bottom w:val="nil"/>
          <w:right w:val="nil"/>
          <w:between w:val="nil"/>
        </w:pBdr>
        <w:spacing w:after="0"/>
        <w:rPr>
          <w:sz w:val="24"/>
          <w:szCs w:val="24"/>
        </w:rPr>
      </w:pPr>
    </w:p>
    <w:p w:rsidR="00927AEE" w:rsidRDefault="00927AEE"/>
    <w:p w:rsidR="007822C2" w:rsidRDefault="00536F96">
      <w:pPr>
        <w:rPr>
          <w:color w:val="0070C0"/>
        </w:rPr>
      </w:pPr>
      <w:r>
        <w:rPr>
          <w:b/>
          <w:u w:val="single"/>
        </w:rPr>
        <w:t>Artiste concerné</w:t>
      </w:r>
      <w:r>
        <w:t> </w:t>
      </w:r>
      <w:proofErr w:type="gramStart"/>
      <w:r>
        <w:t xml:space="preserve">: </w:t>
      </w:r>
      <w:r>
        <w:rPr>
          <w:color w:val="0070C0"/>
        </w:rPr>
        <w:t xml:space="preserve"> </w:t>
      </w:r>
      <w:r w:rsidR="007822C2" w:rsidRPr="007822C2">
        <w:t>…</w:t>
      </w:r>
      <w:proofErr w:type="gramEnd"/>
      <w:r w:rsidR="007822C2" w:rsidRPr="007822C2">
        <w:t>………………………………………………………….</w:t>
      </w:r>
      <w:r w:rsidRPr="007822C2">
        <w:t xml:space="preserve">     </w:t>
      </w:r>
    </w:p>
    <w:p w:rsidR="007822C2" w:rsidRPr="007822C2" w:rsidRDefault="007822C2">
      <w:r w:rsidRPr="007822C2">
        <w:t>Mail …………………………………………………………………………</w:t>
      </w:r>
    </w:p>
    <w:p w:rsidR="00927AEE" w:rsidRPr="007822C2" w:rsidRDefault="007822C2">
      <w:r w:rsidRPr="007822C2">
        <w:t>Portable …………………………………………………………………</w:t>
      </w:r>
      <w:r w:rsidR="00536F96" w:rsidRPr="007822C2">
        <w:t xml:space="preserve">                                                                     </w:t>
      </w:r>
      <w:r w:rsidR="0088589A">
        <w:br/>
      </w:r>
      <w:r w:rsidR="0088589A">
        <w:br/>
        <w:t>Présence aux week-ends du  1</w:t>
      </w:r>
      <w:r w:rsidR="00977274">
        <w:t>3</w:t>
      </w:r>
      <w:r w:rsidRPr="007822C2">
        <w:t>/14   20/21 septembre (rayer la mention inutile)</w:t>
      </w:r>
    </w:p>
    <w:p w:rsidR="00927AEE" w:rsidRPr="007822C2" w:rsidRDefault="00927AEE" w:rsidP="007822C2"/>
    <w:p w:rsidR="00927AEE" w:rsidRPr="007822C2" w:rsidRDefault="00927AEE">
      <w:pPr>
        <w:jc w:val="center"/>
      </w:pPr>
    </w:p>
    <w:p w:rsidR="00927AEE" w:rsidRPr="007822C2" w:rsidRDefault="00536F96">
      <w:pPr>
        <w:jc w:val="center"/>
      </w:pPr>
      <w:r w:rsidRPr="007822C2">
        <w:t>J’ai bien pris connaissance du règlement général de l’opération « expositions chez l’habitant »</w:t>
      </w:r>
    </w:p>
    <w:p w:rsidR="00927AEE" w:rsidRDefault="00927AEE">
      <w:pPr>
        <w:ind w:firstLine="708"/>
      </w:pPr>
    </w:p>
    <w:p w:rsidR="00927AEE" w:rsidRDefault="00536F96">
      <w:pPr>
        <w:ind w:firstLine="708"/>
      </w:pPr>
      <w:bookmarkStart w:id="0" w:name="_heading=h.gjdgxs" w:colFirst="0" w:colLast="0"/>
      <w:bookmarkEnd w:id="0"/>
      <w:r>
        <w:t>Signature</w:t>
      </w:r>
      <w:r w:rsidR="007822C2">
        <w:t xml:space="preserve"> et date </w:t>
      </w:r>
      <w:r>
        <w:tab/>
      </w:r>
      <w:r>
        <w:tab/>
      </w:r>
      <w:r>
        <w:tab/>
      </w:r>
      <w:r>
        <w:tab/>
      </w:r>
      <w:r>
        <w:tab/>
      </w:r>
      <w:r>
        <w:tab/>
      </w:r>
      <w:r>
        <w:tab/>
      </w:r>
      <w:r>
        <w:tab/>
      </w:r>
    </w:p>
    <w:sectPr w:rsidR="00927AEE" w:rsidSect="00927AEE">
      <w:pgSz w:w="11906" w:h="16838"/>
      <w:pgMar w:top="720" w:right="720" w:bottom="720" w:left="720"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3684A"/>
    <w:multiLevelType w:val="multilevel"/>
    <w:tmpl w:val="5EA65C1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927AEE"/>
    <w:rsid w:val="00536F96"/>
    <w:rsid w:val="0063617A"/>
    <w:rsid w:val="007600DF"/>
    <w:rsid w:val="007822C2"/>
    <w:rsid w:val="0088589A"/>
    <w:rsid w:val="00927AEE"/>
    <w:rsid w:val="00977274"/>
    <w:rsid w:val="00C05031"/>
    <w:rsid w:val="00D23ABB"/>
    <w:rsid w:val="00D77FCA"/>
    <w:rsid w:val="00E4701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019"/>
  </w:style>
  <w:style w:type="paragraph" w:styleId="Titre1">
    <w:name w:val="heading 1"/>
    <w:basedOn w:val="normal0"/>
    <w:next w:val="normal0"/>
    <w:rsid w:val="00927AEE"/>
    <w:pPr>
      <w:keepNext/>
      <w:keepLines/>
      <w:spacing w:before="480" w:after="120"/>
      <w:outlineLvl w:val="0"/>
    </w:pPr>
    <w:rPr>
      <w:b/>
      <w:sz w:val="48"/>
      <w:szCs w:val="48"/>
    </w:rPr>
  </w:style>
  <w:style w:type="paragraph" w:styleId="Titre2">
    <w:name w:val="heading 2"/>
    <w:basedOn w:val="normal0"/>
    <w:next w:val="normal0"/>
    <w:rsid w:val="00927AEE"/>
    <w:pPr>
      <w:keepNext/>
      <w:keepLines/>
      <w:spacing w:before="360" w:after="80"/>
      <w:outlineLvl w:val="1"/>
    </w:pPr>
    <w:rPr>
      <w:b/>
      <w:sz w:val="36"/>
      <w:szCs w:val="36"/>
    </w:rPr>
  </w:style>
  <w:style w:type="paragraph" w:styleId="Titre3">
    <w:name w:val="heading 3"/>
    <w:basedOn w:val="normal0"/>
    <w:next w:val="normal0"/>
    <w:rsid w:val="00927AEE"/>
    <w:pPr>
      <w:keepNext/>
      <w:keepLines/>
      <w:spacing w:before="280" w:after="80"/>
      <w:outlineLvl w:val="2"/>
    </w:pPr>
    <w:rPr>
      <w:b/>
      <w:sz w:val="28"/>
      <w:szCs w:val="28"/>
    </w:rPr>
  </w:style>
  <w:style w:type="paragraph" w:styleId="Titre4">
    <w:name w:val="heading 4"/>
    <w:basedOn w:val="normal0"/>
    <w:next w:val="normal0"/>
    <w:rsid w:val="00927AEE"/>
    <w:pPr>
      <w:keepNext/>
      <w:keepLines/>
      <w:spacing w:before="240" w:after="40"/>
      <w:outlineLvl w:val="3"/>
    </w:pPr>
    <w:rPr>
      <w:b/>
      <w:sz w:val="24"/>
      <w:szCs w:val="24"/>
    </w:rPr>
  </w:style>
  <w:style w:type="paragraph" w:styleId="Titre5">
    <w:name w:val="heading 5"/>
    <w:basedOn w:val="normal0"/>
    <w:next w:val="normal0"/>
    <w:rsid w:val="00927AEE"/>
    <w:pPr>
      <w:keepNext/>
      <w:keepLines/>
      <w:spacing w:before="220" w:after="40"/>
      <w:outlineLvl w:val="4"/>
    </w:pPr>
    <w:rPr>
      <w:b/>
    </w:rPr>
  </w:style>
  <w:style w:type="paragraph" w:styleId="Titre6">
    <w:name w:val="heading 6"/>
    <w:basedOn w:val="normal0"/>
    <w:next w:val="normal0"/>
    <w:rsid w:val="00927AEE"/>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927AEE"/>
  </w:style>
  <w:style w:type="table" w:customStyle="1" w:styleId="TableNormal">
    <w:name w:val="Table Normal"/>
    <w:rsid w:val="00927AEE"/>
    <w:tblPr>
      <w:tblCellMar>
        <w:top w:w="0" w:type="dxa"/>
        <w:left w:w="0" w:type="dxa"/>
        <w:bottom w:w="0" w:type="dxa"/>
        <w:right w:w="0" w:type="dxa"/>
      </w:tblCellMar>
    </w:tblPr>
  </w:style>
  <w:style w:type="paragraph" w:styleId="Titre">
    <w:name w:val="Title"/>
    <w:basedOn w:val="normal0"/>
    <w:next w:val="normal0"/>
    <w:rsid w:val="00927AEE"/>
    <w:pPr>
      <w:keepNext/>
      <w:keepLines/>
      <w:spacing w:before="480" w:after="120"/>
    </w:pPr>
    <w:rPr>
      <w:b/>
      <w:sz w:val="72"/>
      <w:szCs w:val="72"/>
    </w:rPr>
  </w:style>
  <w:style w:type="paragraph" w:styleId="Paragraphedeliste">
    <w:name w:val="List Paragraph"/>
    <w:basedOn w:val="Normal"/>
    <w:uiPriority w:val="34"/>
    <w:qFormat/>
    <w:rsid w:val="002E1019"/>
    <w:pPr>
      <w:ind w:left="720"/>
      <w:contextualSpacing/>
    </w:pPr>
  </w:style>
  <w:style w:type="paragraph" w:styleId="Textedebulles">
    <w:name w:val="Balloon Text"/>
    <w:basedOn w:val="Normal"/>
    <w:link w:val="TextedebullesCar"/>
    <w:uiPriority w:val="99"/>
    <w:semiHidden/>
    <w:unhideWhenUsed/>
    <w:rsid w:val="00034A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4A06"/>
    <w:rPr>
      <w:rFonts w:ascii="Tahoma" w:hAnsi="Tahoma" w:cs="Tahoma"/>
      <w:sz w:val="16"/>
      <w:szCs w:val="16"/>
    </w:rPr>
  </w:style>
  <w:style w:type="character" w:styleId="Lienhypertexte">
    <w:name w:val="Hyperlink"/>
    <w:basedOn w:val="Policepardfaut"/>
    <w:uiPriority w:val="99"/>
    <w:unhideWhenUsed/>
    <w:rsid w:val="007776BD"/>
    <w:rPr>
      <w:color w:val="0563C1" w:themeColor="hyperlink"/>
      <w:u w:val="single"/>
    </w:rPr>
  </w:style>
  <w:style w:type="paragraph" w:styleId="Sous-titre">
    <w:name w:val="Subtitle"/>
    <w:basedOn w:val="Normal"/>
    <w:next w:val="Normal"/>
    <w:rsid w:val="00927AEE"/>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tU/BoxheyJCwDmlkk1ta66dCUA==">AMUW2mVlM7udOEC/ebN2JVm/jedc+NXPi0RzaYlkJeZyHSilfA/p0i7fLhECEvOjIA7adX4l3NSB2vYerx1DJDp4ngkHzneKIbdd3RKMJ444n4PSrdO2ET+ep/XvpTVbV3ihl8bNDRhJ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Pages>
  <Words>191</Words>
  <Characters>1052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bertin</dc:creator>
  <cp:lastModifiedBy>Admin</cp:lastModifiedBy>
  <cp:revision>3</cp:revision>
  <dcterms:created xsi:type="dcterms:W3CDTF">2025-06-29T18:05:00Z</dcterms:created>
  <dcterms:modified xsi:type="dcterms:W3CDTF">2025-07-01T13:44:00Z</dcterms:modified>
</cp:coreProperties>
</file>